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黑龙江省水利厅行政权力委托书</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委托行政机关：</w:t>
      </w:r>
      <w:r>
        <w:rPr>
          <w:rFonts w:hint="eastAsia" w:ascii="仿宋" w:hAnsi="仿宋" w:eastAsia="仿宋" w:cs="仿宋"/>
          <w:color w:val="auto"/>
          <w:sz w:val="32"/>
          <w:szCs w:val="32"/>
          <w:highlight w:val="none"/>
          <w:lang w:eastAsia="zh-CN"/>
        </w:rPr>
        <w:t>黑龙江省水利厅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color w:val="auto"/>
          <w:sz w:val="32"/>
          <w:szCs w:val="32"/>
          <w:highlight w:val="none"/>
          <w:lang w:eastAsia="zh-CN"/>
        </w:rPr>
        <w:t>南岗区文中街</w:t>
      </w:r>
      <w:r>
        <w:rPr>
          <w:rFonts w:hint="eastAsia" w:ascii="仿宋" w:hAnsi="仿宋" w:eastAsia="仿宋" w:cs="仿宋"/>
          <w:color w:val="auto"/>
          <w:sz w:val="32"/>
          <w:szCs w:val="32"/>
          <w:highlight w:val="none"/>
          <w:lang w:val="en-US" w:eastAsia="zh-CN"/>
        </w:rPr>
        <w:t>4号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法定代表人：</w:t>
      </w:r>
      <w:r>
        <w:rPr>
          <w:rFonts w:hint="eastAsia" w:ascii="仿宋" w:hAnsi="仿宋" w:eastAsia="仿宋" w:cs="仿宋"/>
          <w:color w:val="auto"/>
          <w:sz w:val="32"/>
          <w:szCs w:val="32"/>
          <w:highlight w:val="none"/>
          <w:lang w:eastAsia="zh-CN"/>
        </w:rPr>
        <w:t>魏邦记</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职务：</w:t>
      </w:r>
      <w:r>
        <w:rPr>
          <w:rFonts w:hint="eastAsia" w:ascii="仿宋" w:hAnsi="仿宋" w:eastAsia="仿宋" w:cs="仿宋"/>
          <w:color w:val="auto"/>
          <w:sz w:val="32"/>
          <w:szCs w:val="32"/>
          <w:highlight w:val="none"/>
          <w:lang w:eastAsia="zh-CN"/>
        </w:rPr>
        <w:t>厅长</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b w:val="0"/>
          <w:bCs w:val="0"/>
          <w:color w:val="auto"/>
          <w:sz w:val="32"/>
          <w:szCs w:val="32"/>
          <w:highlight w:val="none"/>
        </w:rPr>
      </w:pPr>
      <w:r>
        <w:rPr>
          <w:rFonts w:ascii="Calibri" w:hAnsi="Calibri" w:eastAsia="宋体" w:cs="Times New Roman"/>
          <w:b w:val="0"/>
          <w:bCs w:val="0"/>
          <w:color w:val="auto"/>
          <w:kern w:val="0"/>
          <w:sz w:val="32"/>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214630</wp:posOffset>
                </wp:positionV>
                <wp:extent cx="4921250" cy="7620"/>
                <wp:effectExtent l="0" t="0" r="0" b="0"/>
                <wp:wrapNone/>
                <wp:docPr id="1" name="直接连接符 2"/>
                <wp:cNvGraphicFramePr/>
                <a:graphic xmlns:a="http://schemas.openxmlformats.org/drawingml/2006/main">
                  <a:graphicData uri="http://schemas.microsoft.com/office/word/2010/wordprocessingShape">
                    <wps:wsp>
                      <wps:cNvCnPr/>
                      <wps:spPr>
                        <a:xfrm flipV="1">
                          <a:off x="0" y="0"/>
                          <a:ext cx="4921250" cy="7620"/>
                        </a:xfrm>
                        <a:prstGeom prst="line">
                          <a:avLst/>
                        </a:prstGeom>
                        <a:ln w="19050" cap="flat" cmpd="sng">
                          <a:solidFill>
                            <a:srgbClr val="000000"/>
                          </a:solidFill>
                          <a:prstDash val="solid"/>
                          <a:headEnd type="none" w="med" len="med"/>
                          <a:tailEnd type="none" w="med" len="med"/>
                        </a:ln>
                      </wps:spPr>
                      <wps:bodyPr upright="0"/>
                    </wps:wsp>
                  </a:graphicData>
                </a:graphic>
              </wp:anchor>
            </w:drawing>
          </mc:Choice>
          <mc:Fallback>
            <w:pict>
              <v:line id="直接连接符 2" o:spid="_x0000_s1026" o:spt="20" style="position:absolute;left:0pt;flip:y;margin-left:34.3pt;margin-top:16.9pt;height:0.6pt;width:387.5pt;z-index:251659264;mso-width-relative:page;mso-height-relative:page;" filled="f" stroked="t" coordsize="21600,21600" o:gfxdata="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1RjpbTAAAACAEAAA8A&#10;AAAAAAAAAQAgAAAAIgAAAGRycy9kb3ducmV2LnhtbFBLAQIUABQAAAAIAIdO4kDff3S74wEAAKQD&#10;AAAOAAAAAAAAAAEAIAAAACIBAABkcnMvZTJvRG9jLnhtbFBLBQYAAAAABgAGAFkBAAB3BQAAAAA=&#10;">
                <v:fill on="f" focussize="0,0"/>
                <v:stroke weight="1.5pt" color="#000000" joinstyle="round"/>
                <v:imagedata o:title=""/>
                <o:lock v:ext="edit" aspectratio="f"/>
              </v:line>
            </w:pict>
          </mc:Fallback>
        </mc:AlternateConten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受委托行政机关：</w:t>
      </w:r>
      <w:r>
        <w:rPr>
          <w:rFonts w:hint="eastAsia" w:ascii="仿宋" w:hAnsi="仿宋" w:eastAsia="仿宋" w:cs="仿宋"/>
          <w:b w:val="0"/>
          <w:bCs w:val="0"/>
          <w:color w:val="auto"/>
          <w:sz w:val="32"/>
          <w:szCs w:val="32"/>
          <w:highlight w:val="none"/>
        </w:rPr>
        <w:t>中国（黑龙江）自由贸易试验区绥芬河</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00" w:firstLineChars="100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片区管理委员会</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黑龙江省绥芬河市长江路</w:t>
      </w:r>
      <w:r>
        <w:rPr>
          <w:rFonts w:hint="eastAsia" w:ascii="仿宋" w:hAnsi="仿宋" w:eastAsia="仿宋" w:cs="仿宋"/>
          <w:b w:val="0"/>
          <w:bCs w:val="0"/>
          <w:color w:val="auto"/>
          <w:sz w:val="32"/>
          <w:szCs w:val="32"/>
          <w:highlight w:val="none"/>
          <w:lang w:val="en-US" w:eastAsia="zh-CN"/>
        </w:rPr>
        <w:t>1号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法定代表人：</w:t>
      </w:r>
      <w:r>
        <w:rPr>
          <w:rFonts w:hint="eastAsia" w:ascii="仿宋" w:hAnsi="仿宋" w:eastAsia="仿宋" w:cs="仿宋"/>
          <w:b w:val="0"/>
          <w:bCs w:val="0"/>
          <w:color w:val="auto"/>
          <w:sz w:val="32"/>
          <w:szCs w:val="32"/>
          <w:highlight w:val="none"/>
          <w:lang w:eastAsia="zh-CN"/>
        </w:rPr>
        <w:t>宫冰</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bCs/>
          <w:color w:val="auto"/>
          <w:sz w:val="32"/>
          <w:szCs w:val="32"/>
          <w:highlight w:val="none"/>
        </w:rPr>
        <w:t>职务：</w:t>
      </w:r>
      <w:r>
        <w:rPr>
          <w:rFonts w:hint="eastAsia" w:ascii="仿宋" w:hAnsi="仿宋" w:eastAsia="仿宋" w:cs="仿宋"/>
          <w:b w:val="0"/>
          <w:bCs w:val="0"/>
          <w:color w:val="auto"/>
          <w:sz w:val="32"/>
          <w:szCs w:val="32"/>
          <w:highlight w:val="none"/>
          <w:lang w:val="en-US" w:eastAsia="zh-CN"/>
        </w:rPr>
        <w:t>专职</w:t>
      </w:r>
      <w:r>
        <w:rPr>
          <w:rFonts w:hint="eastAsia" w:ascii="仿宋" w:hAnsi="仿宋" w:eastAsia="仿宋" w:cs="仿宋"/>
          <w:b w:val="0"/>
          <w:bCs w:val="0"/>
          <w:color w:val="auto"/>
          <w:sz w:val="32"/>
          <w:szCs w:val="32"/>
          <w:highlight w:val="none"/>
          <w:lang w:eastAsia="zh-CN"/>
        </w:rPr>
        <w:t>副主任</w:t>
      </w:r>
      <w:r>
        <w:rPr>
          <w:rFonts w:hint="eastAsia" w:ascii="仿宋" w:hAnsi="仿宋" w:eastAsia="仿宋" w:cs="仿宋"/>
          <w:b w:val="0"/>
          <w:bCs w:val="0"/>
          <w:color w:val="auto"/>
          <w:sz w:val="32"/>
          <w:szCs w:val="32"/>
          <w:highlight w:val="none"/>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为进一步推动简政放权，根据《黑龙江省人民政府办公厅关于公布〈赋予中国(黑龙江)自由贸易试验区省级行政权力事项指导目录〉和〈赋予哈尔滨新区省级行政权力事项指导目录〉的决定》（202</w:t>
      </w:r>
      <w:r>
        <w:rPr>
          <w:rFonts w:hint="default" w:ascii="仿宋" w:hAnsi="仿宋" w:eastAsia="仿宋" w:cs="仿宋"/>
          <w:b w:val="0"/>
          <w:bCs w:val="0"/>
          <w:color w:val="auto"/>
          <w:sz w:val="32"/>
          <w:szCs w:val="32"/>
          <w:highlight w:val="none"/>
          <w:lang w:val="en-US"/>
        </w:rPr>
        <w:t>3</w:t>
      </w:r>
      <w:r>
        <w:rPr>
          <w:rFonts w:hint="eastAsia" w:ascii="仿宋" w:hAnsi="仿宋" w:eastAsia="仿宋" w:cs="仿宋"/>
          <w:b w:val="0"/>
          <w:bCs w:val="0"/>
          <w:color w:val="auto"/>
          <w:sz w:val="32"/>
          <w:szCs w:val="32"/>
          <w:highlight w:val="none"/>
        </w:rPr>
        <w:t>年省政府令第3号）《中华人民共和国行政许可法》《中华人民共和国行政诉讼法》，委托行政机关与受委托行政机关签订《赋予省级行政权力事项委托书》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受委托行政机关</w:t>
      </w:r>
      <w:r>
        <w:rPr>
          <w:rFonts w:hint="eastAsia" w:ascii="仿宋" w:hAnsi="仿宋" w:eastAsia="仿宋" w:cs="仿宋"/>
          <w:b w:val="0"/>
          <w:bCs w:val="0"/>
          <w:color w:val="auto"/>
          <w:sz w:val="32"/>
          <w:szCs w:val="32"/>
          <w:highlight w:val="none"/>
          <w:lang w:val="en-US" w:eastAsia="zh-CN"/>
        </w:rPr>
        <w:t>在本行政区域内行使相关权力</w:t>
      </w:r>
      <w:r>
        <w:rPr>
          <w:rFonts w:hint="eastAsia" w:ascii="仿宋" w:hAnsi="仿宋" w:eastAsia="仿宋" w:cs="仿宋"/>
          <w:b w:val="0"/>
          <w:bCs w:val="0"/>
          <w:color w:val="auto"/>
          <w:sz w:val="32"/>
          <w:szCs w:val="32"/>
          <w:highlight w:val="none"/>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黑体" w:hAnsi="黑体" w:eastAsia="黑体" w:cs="黑体"/>
          <w:b w:val="0"/>
          <w:bCs w:val="0"/>
          <w:color w:val="auto"/>
          <w:sz w:val="32"/>
          <w:szCs w:val="32"/>
          <w:highlight w:val="none"/>
          <w:lang w:eastAsia="zh-CN"/>
        </w:rPr>
      </w:pPr>
      <w:bookmarkStart w:id="0" w:name="_GoBack"/>
      <w:bookmarkEnd w:id="0"/>
      <w:r>
        <w:rPr>
          <w:rFonts w:hint="eastAsia" w:ascii="黑体" w:hAnsi="黑体" w:eastAsia="黑体" w:cs="黑体"/>
          <w:b w:val="0"/>
          <w:bCs w:val="0"/>
          <w:color w:val="auto"/>
          <w:sz w:val="32"/>
          <w:szCs w:val="32"/>
          <w:highlight w:val="none"/>
          <w:lang w:eastAsia="zh-CN"/>
        </w:rPr>
        <w:t>委托事项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val="en-US" w:eastAsia="zh-CN"/>
        </w:rPr>
        <w:t>权限内的水利工程建设项目阶段验收和竣工验收；2.水土保持设施验收报备；3.权限内水事纠纷裁决；4.取水许可；5.水资源费征收；6.水利工程建设档案验收；7.水利基建项目初步设计文件审批；8.水土保持补偿费征收（免征）；9.河道管理范围内特定活动审批；10.生产建设项目水土保持方案审批；11.占用农业灌溉水源、灌排工程设施审批；12.洪水影响评价类审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、委托行政机关</w:t>
      </w:r>
      <w:r>
        <w:rPr>
          <w:rFonts w:hint="eastAsia" w:ascii="黑体" w:hAnsi="黑体" w:eastAsia="黑体" w:cs="黑体"/>
          <w:b w:val="0"/>
          <w:bCs w:val="0"/>
          <w:color w:val="auto"/>
          <w:sz w:val="32"/>
          <w:szCs w:val="32"/>
          <w:highlight w:val="none"/>
          <w:lang w:eastAsia="zh-CN"/>
        </w:rPr>
        <w:t>职责</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（一）向受委托行政机关提供与赋权事项有关的法律、法规、规章和相关政策文件目录及纸质或电子版文档，当所赋权依据发生变化时，及时书面通知受委托行政机关。</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（二）向受委托行政机关提供组织实施行政</w:t>
      </w:r>
      <w:r>
        <w:rPr>
          <w:rFonts w:hint="eastAsia" w:ascii="仿宋" w:hAnsi="仿宋" w:eastAsia="仿宋" w:cs="仿宋"/>
          <w:b w:val="0"/>
          <w:bCs w:val="0"/>
          <w:color w:val="auto"/>
          <w:sz w:val="32"/>
          <w:szCs w:val="32"/>
          <w:highlight w:val="none"/>
          <w:lang w:eastAsia="zh-CN"/>
        </w:rPr>
        <w:t>权力</w:t>
      </w:r>
      <w:r>
        <w:rPr>
          <w:rFonts w:hint="eastAsia" w:ascii="仿宋" w:hAnsi="仿宋" w:eastAsia="仿宋" w:cs="仿宋"/>
          <w:b w:val="0"/>
          <w:bCs w:val="0"/>
          <w:color w:val="auto"/>
          <w:sz w:val="32"/>
          <w:szCs w:val="32"/>
          <w:highlight w:val="none"/>
        </w:rPr>
        <w:t>全流程配套的、标准规范的所有材料。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（三）在委托职权范围内，指导和监督受委托行政机关依法依规正确行使职权，为受委托行政机关工作工员进行业务培训。</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四</w:t>
      </w:r>
      <w:r>
        <w:rPr>
          <w:rFonts w:hint="eastAsia" w:ascii="仿宋" w:hAnsi="仿宋" w:eastAsia="仿宋" w:cs="仿宋"/>
          <w:b w:val="0"/>
          <w:bCs w:val="0"/>
          <w:color w:val="auto"/>
          <w:sz w:val="32"/>
          <w:szCs w:val="32"/>
          <w:highlight w:val="none"/>
        </w:rPr>
        <w:t>）</w:t>
      </w:r>
      <w:r>
        <w:rPr>
          <w:rFonts w:hint="eastAsia" w:ascii="仿宋_GB2312" w:hAnsi="仿宋_GB2312" w:eastAsia="仿宋_GB2312" w:cs="仿宋_GB2312"/>
          <w:b w:val="0"/>
          <w:bCs w:val="0"/>
          <w:i w:val="0"/>
          <w:caps w:val="0"/>
          <w:color w:val="auto"/>
          <w:spacing w:val="0"/>
          <w:sz w:val="32"/>
          <w:szCs w:val="32"/>
          <w:highlight w:val="none"/>
          <w:shd w:val="clear" w:fill="FFFFFF"/>
        </w:rPr>
        <w:t>对受委托行政机关实施行政</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权力</w:t>
      </w:r>
      <w:r>
        <w:rPr>
          <w:rFonts w:hint="eastAsia" w:ascii="仿宋_GB2312" w:hAnsi="仿宋_GB2312" w:eastAsia="仿宋_GB2312" w:cs="仿宋_GB2312"/>
          <w:b w:val="0"/>
          <w:bCs w:val="0"/>
          <w:i w:val="0"/>
          <w:caps w:val="0"/>
          <w:color w:val="auto"/>
          <w:spacing w:val="0"/>
          <w:sz w:val="32"/>
          <w:szCs w:val="32"/>
          <w:highlight w:val="none"/>
          <w:shd w:val="clear" w:fill="FFFFFF"/>
        </w:rPr>
        <w:t>的行为</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进行</w:t>
      </w:r>
      <w:r>
        <w:rPr>
          <w:rFonts w:hint="eastAsia" w:ascii="仿宋_GB2312" w:hAnsi="仿宋_GB2312" w:eastAsia="仿宋_GB2312" w:cs="仿宋_GB2312"/>
          <w:b w:val="0"/>
          <w:bCs w:val="0"/>
          <w:i w:val="0"/>
          <w:caps w:val="0"/>
          <w:color w:val="auto"/>
          <w:spacing w:val="0"/>
          <w:sz w:val="32"/>
          <w:szCs w:val="32"/>
          <w:highlight w:val="none"/>
          <w:shd w:val="clear" w:fill="FFFFFF"/>
        </w:rPr>
        <w:t>监督，并对该行为的后果承担法律责任。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（五）受委托机关违法实施委托行为的，委托机关可依法追责</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六</w:t>
      </w:r>
      <w:r>
        <w:rPr>
          <w:rFonts w:hint="eastAsia" w:ascii="仿宋" w:hAnsi="仿宋" w:eastAsia="仿宋" w:cs="仿宋"/>
          <w:b w:val="0"/>
          <w:bCs w:val="0"/>
          <w:color w:val="auto"/>
          <w:sz w:val="32"/>
          <w:szCs w:val="32"/>
          <w:highlight w:val="none"/>
        </w:rPr>
        <w:t>）对</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委托行政机关行使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w:t>
      </w:r>
      <w:r>
        <w:rPr>
          <w:rFonts w:hint="eastAsia" w:ascii="仿宋" w:hAnsi="仿宋" w:eastAsia="仿宋" w:cs="仿宋"/>
          <w:b w:val="0"/>
          <w:bCs w:val="0"/>
          <w:color w:val="auto"/>
          <w:sz w:val="32"/>
          <w:szCs w:val="32"/>
          <w:highlight w:val="none"/>
          <w:lang w:eastAsia="zh-CN"/>
        </w:rPr>
        <w:t>进行备案审查，对</w:t>
      </w:r>
      <w:r>
        <w:rPr>
          <w:rFonts w:hint="eastAsia" w:ascii="仿宋" w:hAnsi="仿宋" w:eastAsia="仿宋" w:cs="仿宋"/>
          <w:b w:val="0"/>
          <w:bCs w:val="0"/>
          <w:color w:val="auto"/>
          <w:sz w:val="32"/>
          <w:szCs w:val="32"/>
          <w:highlight w:val="none"/>
        </w:rPr>
        <w:t>违法或不适当的行使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职权行为予以纠正或者依法予以撤销。</w:t>
      </w:r>
      <w:r>
        <w:rPr>
          <w:rFonts w:hint="eastAsia" w:ascii="仿宋" w:hAnsi="仿宋" w:eastAsia="仿宋" w:cs="仿宋"/>
          <w:b w:val="0"/>
          <w:bCs w:val="0"/>
          <w:color w:val="auto"/>
          <w:sz w:val="32"/>
          <w:szCs w:val="32"/>
          <w:highlight w:val="none"/>
          <w:lang w:eastAsia="zh-CN"/>
        </w:rPr>
        <w:t>撤销后申请人重新申请的，由委托机关受理、办理。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七</w:t>
      </w:r>
      <w:r>
        <w:rPr>
          <w:rFonts w:hint="eastAsia" w:ascii="仿宋" w:hAnsi="仿宋" w:eastAsia="仿宋" w:cs="仿宋"/>
          <w:b w:val="0"/>
          <w:bCs w:val="0"/>
          <w:color w:val="auto"/>
          <w:sz w:val="32"/>
          <w:szCs w:val="32"/>
          <w:highlight w:val="none"/>
        </w:rPr>
        <w:t>）在本部门网站将受委托行政机关和受委托实施的省级行政权力事项内容予以公告。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八</w:t>
      </w:r>
      <w:r>
        <w:rPr>
          <w:rFonts w:hint="eastAsia" w:ascii="仿宋" w:hAnsi="仿宋" w:eastAsia="仿宋" w:cs="仿宋"/>
          <w:b w:val="0"/>
          <w:bCs w:val="0"/>
          <w:color w:val="auto"/>
          <w:sz w:val="32"/>
          <w:szCs w:val="32"/>
          <w:highlight w:val="none"/>
        </w:rPr>
        <w:t>）负责解释委托权限的范围。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、受委托行政机关</w:t>
      </w:r>
      <w:r>
        <w:rPr>
          <w:rFonts w:hint="eastAsia" w:ascii="黑体" w:hAnsi="黑体" w:eastAsia="黑体" w:cs="黑体"/>
          <w:b w:val="0"/>
          <w:bCs w:val="0"/>
          <w:color w:val="auto"/>
          <w:sz w:val="32"/>
          <w:szCs w:val="32"/>
          <w:highlight w:val="none"/>
          <w:lang w:eastAsia="zh-CN"/>
        </w:rPr>
        <w:t>职责</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（一）按照法律、法规、规章和有关政策规定，在受委托权限范围内，以委托行政机关名义行使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，不得再委托其他组织或个人行使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过程中，因受委托行政机关的过错导致经济、行政等法律责任，由受委托行政机关承担。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（三）受委托行政机关以自己的名义或者超越委托权限实施的行政行为所产生的法律后果，由受委托行政机关承担。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（四）因行使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而引发行政复议和行政诉讼的，受委托行政机关</w:t>
      </w:r>
      <w:r>
        <w:rPr>
          <w:rFonts w:hint="eastAsia" w:ascii="仿宋" w:hAnsi="仿宋" w:eastAsia="仿宋" w:cs="仿宋"/>
          <w:b w:val="0"/>
          <w:bCs w:val="0"/>
          <w:color w:val="auto"/>
          <w:sz w:val="32"/>
          <w:szCs w:val="32"/>
          <w:highlight w:val="none"/>
          <w:lang w:eastAsia="zh-CN"/>
        </w:rPr>
        <w:t>配合委托行政</w:t>
      </w:r>
      <w:r>
        <w:rPr>
          <w:rFonts w:hint="eastAsia" w:ascii="仿宋" w:hAnsi="仿宋" w:eastAsia="仿宋" w:cs="仿宋"/>
          <w:b w:val="0"/>
          <w:bCs w:val="0"/>
          <w:color w:val="auto"/>
          <w:sz w:val="32"/>
          <w:szCs w:val="32"/>
          <w:highlight w:val="none"/>
        </w:rPr>
        <w:t>机关</w:t>
      </w:r>
      <w:r>
        <w:rPr>
          <w:rFonts w:hint="eastAsia" w:ascii="仿宋" w:hAnsi="仿宋" w:eastAsia="仿宋" w:cs="仿宋"/>
          <w:b w:val="0"/>
          <w:bCs w:val="0"/>
          <w:color w:val="auto"/>
          <w:sz w:val="32"/>
          <w:szCs w:val="32"/>
          <w:highlight w:val="none"/>
          <w:lang w:eastAsia="zh-CN"/>
        </w:rPr>
        <w:t>共同开展</w:t>
      </w:r>
      <w:r>
        <w:rPr>
          <w:rFonts w:hint="eastAsia" w:ascii="仿宋" w:hAnsi="仿宋" w:eastAsia="仿宋" w:cs="仿宋"/>
          <w:b w:val="0"/>
          <w:bCs w:val="0"/>
          <w:color w:val="auto"/>
          <w:sz w:val="32"/>
          <w:szCs w:val="32"/>
          <w:highlight w:val="none"/>
        </w:rPr>
        <w:t>复议和诉讼</w:t>
      </w:r>
      <w:r>
        <w:rPr>
          <w:rFonts w:hint="eastAsia" w:ascii="仿宋" w:hAnsi="仿宋" w:eastAsia="仿宋" w:cs="仿宋"/>
          <w:b w:val="0"/>
          <w:bCs w:val="0"/>
          <w:color w:val="auto"/>
          <w:sz w:val="32"/>
          <w:szCs w:val="32"/>
          <w:highlight w:val="none"/>
          <w:lang w:eastAsia="zh-CN"/>
        </w:rPr>
        <w:t>相关工作</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（五）在行使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过程中，如遇重大、复杂、疑难等问题，受委托行政机关应及时与委托行政机关沟通，并将处理结果向委托行政机关报备。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（六）受委托行政机关工作人员在行使</w:t>
      </w:r>
      <w:r>
        <w:rPr>
          <w:rFonts w:hint="eastAsia" w:ascii="仿宋" w:hAnsi="仿宋" w:eastAsia="仿宋" w:cs="仿宋"/>
          <w:b w:val="0"/>
          <w:bCs w:val="0"/>
          <w:color w:val="auto"/>
          <w:sz w:val="32"/>
          <w:szCs w:val="32"/>
          <w:highlight w:val="none"/>
          <w:lang w:eastAsia="zh-CN"/>
        </w:rPr>
        <w:t>受委托行政权力</w:t>
      </w:r>
      <w:r>
        <w:rPr>
          <w:rFonts w:hint="eastAsia" w:ascii="仿宋" w:hAnsi="仿宋" w:eastAsia="仿宋" w:cs="仿宋"/>
          <w:b w:val="0"/>
          <w:bCs w:val="0"/>
          <w:color w:val="auto"/>
          <w:sz w:val="32"/>
          <w:szCs w:val="32"/>
          <w:highlight w:val="none"/>
        </w:rPr>
        <w:t>过程中，存在失职、渎职、不作为、乱作为等情形的，依法实行责任追究。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（七）受委托</w:t>
      </w:r>
      <w:r>
        <w:rPr>
          <w:rFonts w:hint="eastAsia" w:ascii="仿宋" w:hAnsi="仿宋" w:eastAsia="仿宋" w:cs="仿宋"/>
          <w:b w:val="0"/>
          <w:bCs w:val="0"/>
          <w:color w:val="auto"/>
          <w:sz w:val="32"/>
          <w:szCs w:val="32"/>
          <w:highlight w:val="none"/>
          <w:lang w:eastAsia="zh-CN"/>
        </w:rPr>
        <w:t>实施</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行政行为</w:t>
      </w:r>
      <w:r>
        <w:rPr>
          <w:rFonts w:hint="eastAsia" w:ascii="仿宋" w:hAnsi="仿宋" w:eastAsia="仿宋" w:cs="仿宋"/>
          <w:b w:val="0"/>
          <w:bCs w:val="0"/>
          <w:color w:val="auto"/>
          <w:sz w:val="32"/>
          <w:szCs w:val="32"/>
          <w:highlight w:val="none"/>
        </w:rPr>
        <w:t>应接受委托行政机关的监督指导。</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（八）受委托行政机关要在办结具体行政事项</w:t>
      </w:r>
      <w:r>
        <w:rPr>
          <w:rFonts w:hint="eastAsia" w:ascii="仿宋" w:hAnsi="仿宋" w:eastAsia="仿宋" w:cs="仿宋"/>
          <w:b w:val="0"/>
          <w:bCs w:val="0"/>
          <w:color w:val="auto"/>
          <w:sz w:val="32"/>
          <w:szCs w:val="32"/>
          <w:highlight w:val="none"/>
          <w:lang w:val="en-US" w:eastAsia="zh-CN"/>
        </w:rPr>
        <w:t>7个工作日内，</w:t>
      </w:r>
      <w:r>
        <w:rPr>
          <w:rFonts w:hint="eastAsia" w:ascii="仿宋" w:hAnsi="仿宋" w:eastAsia="仿宋" w:cs="仿宋"/>
          <w:b w:val="0"/>
          <w:bCs w:val="0"/>
          <w:color w:val="auto"/>
          <w:sz w:val="32"/>
          <w:szCs w:val="32"/>
          <w:highlight w:val="none"/>
          <w:lang w:eastAsia="zh-CN"/>
        </w:rPr>
        <w:t>向委托机关备案办理材料。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、委托期限</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本《赋予省级行政权力事项委托书》自委托行政机关和受委托行政机关及双方法定代表人签名和盖章后生效。因国家法律、法规、规章和政策调整，需要改变或调整委托事项的，从其规定。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、委托职权终止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（一）委托职权所依据的法律、法规、规章发生变化，明确禁止职权委托的。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（二）印发的省政府决定停止委托省级行政权力事项的。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需说明事项</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（一）</w:t>
      </w:r>
      <w:r>
        <w:rPr>
          <w:rFonts w:hint="eastAsia" w:ascii="仿宋" w:hAnsi="仿宋" w:eastAsia="仿宋" w:cs="仿宋"/>
          <w:b w:val="0"/>
          <w:bCs w:val="0"/>
          <w:color w:val="auto"/>
          <w:sz w:val="32"/>
          <w:szCs w:val="32"/>
          <w:highlight w:val="none"/>
        </w:rPr>
        <w:t>如果《赋予省级行政权力事项委托书》与国家和省的相关法律、法规、规章和政策不符的，以法律、法规、规章和政策为准。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（二）</w:t>
      </w:r>
      <w:r>
        <w:rPr>
          <w:rFonts w:hint="eastAsia" w:ascii="仿宋" w:hAnsi="仿宋" w:eastAsia="仿宋" w:cs="仿宋"/>
          <w:b w:val="0"/>
          <w:bCs w:val="0"/>
          <w:color w:val="auto"/>
          <w:sz w:val="32"/>
          <w:szCs w:val="32"/>
          <w:highlight w:val="none"/>
        </w:rPr>
        <w:t>本《赋予省级行政权力事项委托书》一式四份，委托行政机关和受委托行政机关各执一份，省推进政府职能转变和“放管服”改革协调小组办公室、省司法厅各备案一份。</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color w:val="auto"/>
          <w:sz w:val="32"/>
          <w:szCs w:val="32"/>
          <w:highlight w:val="none"/>
          <w:lang w:val="en"/>
        </w:rPr>
      </w:pPr>
      <w:r>
        <w:rPr>
          <w:rFonts w:hint="eastAsia" w:ascii="仿宋" w:hAnsi="仿宋" w:eastAsia="仿宋" w:cs="仿宋"/>
          <w:b w:val="0"/>
          <w:bCs w:val="0"/>
          <w:color w:val="auto"/>
          <w:sz w:val="32"/>
          <w:szCs w:val="32"/>
          <w:highlight w:val="none"/>
        </w:rPr>
        <w:t>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受委托行政机关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9" w:firstLineChars="503"/>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年   月   日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年   月   日</w:t>
      </w:r>
    </w:p>
    <w:sectPr>
      <w:footerReference r:id="rId3" w:type="default"/>
      <w:pgSz w:w="11906" w:h="16838"/>
      <w:pgMar w:top="2098" w:right="1474" w:bottom="1984" w:left="1587" w:header="851" w:footer="1417" w:gutter="0"/>
      <w:pgNumType w:fmt="numberInDash"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L/SnXGpAQAAQQMAAA4A&#10;AAAAAAAAAQAgAAAAHwEAAGRycy9lMm9Eb2MueG1sUEsFBgAAAAAGAAYAWQEAADoFA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A4C06D"/>
    <w:multiLevelType w:val="singleLevel"/>
    <w:tmpl w:val="EEA4C0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NjA3MGU0ZGI4OGM4NjAxOTNhMzQ5NWNlMDJjZTQifQ=="/>
  </w:docVars>
  <w:rsids>
    <w:rsidRoot w:val="00000000"/>
    <w:rsid w:val="010B6057"/>
    <w:rsid w:val="03153FAF"/>
    <w:rsid w:val="03C9787E"/>
    <w:rsid w:val="06C87D6C"/>
    <w:rsid w:val="10AF111C"/>
    <w:rsid w:val="111B7E7B"/>
    <w:rsid w:val="117F6D08"/>
    <w:rsid w:val="129A0788"/>
    <w:rsid w:val="142E7B40"/>
    <w:rsid w:val="16AD66DB"/>
    <w:rsid w:val="180771F0"/>
    <w:rsid w:val="19756E95"/>
    <w:rsid w:val="1DA12D01"/>
    <w:rsid w:val="1DBA7D79"/>
    <w:rsid w:val="20D1031D"/>
    <w:rsid w:val="227131AA"/>
    <w:rsid w:val="272E1496"/>
    <w:rsid w:val="30374AB3"/>
    <w:rsid w:val="30BF0006"/>
    <w:rsid w:val="332D03BD"/>
    <w:rsid w:val="374160A4"/>
    <w:rsid w:val="3E4F2607"/>
    <w:rsid w:val="422B0B3B"/>
    <w:rsid w:val="44E024CD"/>
    <w:rsid w:val="49044522"/>
    <w:rsid w:val="4A383D2D"/>
    <w:rsid w:val="4EE54BE1"/>
    <w:rsid w:val="52D24135"/>
    <w:rsid w:val="53DF4E88"/>
    <w:rsid w:val="543B7BB1"/>
    <w:rsid w:val="552F2EA5"/>
    <w:rsid w:val="596D2410"/>
    <w:rsid w:val="5B9006C7"/>
    <w:rsid w:val="5FB02C54"/>
    <w:rsid w:val="5FFF7E05"/>
    <w:rsid w:val="60432E07"/>
    <w:rsid w:val="61EF6391"/>
    <w:rsid w:val="673A5F9E"/>
    <w:rsid w:val="67C33D6D"/>
    <w:rsid w:val="6B0832E7"/>
    <w:rsid w:val="6CB623CF"/>
    <w:rsid w:val="6DBF021B"/>
    <w:rsid w:val="7DEF48D4"/>
    <w:rsid w:val="7E0C4D85"/>
    <w:rsid w:val="7EFAF087"/>
    <w:rsid w:val="7F3E2772"/>
    <w:rsid w:val="7F5749F6"/>
    <w:rsid w:val="7F6EAE7C"/>
    <w:rsid w:val="7FAB02BD"/>
    <w:rsid w:val="9DAF122D"/>
    <w:rsid w:val="AF3F05EF"/>
    <w:rsid w:val="B975DD38"/>
    <w:rsid w:val="BCDFC7AC"/>
    <w:rsid w:val="BD650420"/>
    <w:rsid w:val="CF7EF005"/>
    <w:rsid w:val="F7777080"/>
    <w:rsid w:val="FDDDC564"/>
    <w:rsid w:val="FDEFE237"/>
    <w:rsid w:val="FF1D01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脚 字符"/>
    <w:basedOn w:val="5"/>
    <w:link w:val="2"/>
    <w:qFormat/>
    <w:uiPriority w:val="0"/>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559</Words>
  <Characters>3192</Characters>
  <Lines>26</Lines>
  <Paragraphs>7</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2021-08-04T10:02:00Z</dcterms:created>
  <dc:creator>于守奎</dc:creator>
  <cp:lastModifiedBy>杨军</cp:lastModifiedBy>
  <cp:lastPrinted>2023-11-22T00:52:59Z</cp:lastPrinted>
  <dcterms:modified xsi:type="dcterms:W3CDTF">2023-11-22T00:57:00Z</dcterms:modified>
  <dc:title>附件6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380C023F0DE549DCA56DB084C7971B36_13</vt:lpwstr>
  </property>
</Properties>
</file>